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55"/>
        <w:gridCol w:w="7807"/>
      </w:tblGrid>
      <w:tr w:rsidR="00E8266F" w:rsidRPr="00E8266F" w14:paraId="037A174E" w14:textId="77777777" w:rsidTr="00661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  <w:vMerge w:val="restart"/>
            <w:tcBorders>
              <w:right w:val="single" w:sz="4" w:space="0" w:color="auto"/>
            </w:tcBorders>
          </w:tcPr>
          <w:p w14:paraId="045EF81C" w14:textId="77777777" w:rsidR="00E8266F" w:rsidRPr="00E8266F" w:rsidRDefault="00E8266F" w:rsidP="00E8266F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bg-BG"/>
              </w:rPr>
            </w:pPr>
            <w:r w:rsidRPr="00E8266F">
              <w:rPr>
                <w:rFonts w:ascii="Arial Narrow" w:eastAsia="Times New Roman" w:hAnsi="Arial Narrow" w:cs="Times New Roman"/>
                <w:noProof/>
                <w:sz w:val="24"/>
                <w:szCs w:val="20"/>
                <w:lang w:eastAsia="bg-BG"/>
              </w:rPr>
              <w:drawing>
                <wp:inline distT="0" distB="0" distL="0" distR="0" wp14:anchorId="72D5E523" wp14:editId="12C4583E">
                  <wp:extent cx="548009" cy="673100"/>
                  <wp:effectExtent l="0" t="0" r="4445" b="0"/>
                  <wp:docPr id="6" name="Picture 1" descr="Logo Ruse_ver_Corel_9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use_ver_Corel_9_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04" cy="71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cBorders>
              <w:left w:val="single" w:sz="4" w:space="0" w:color="auto"/>
              <w:bottom w:val="none" w:sz="0" w:space="0" w:color="auto"/>
            </w:tcBorders>
          </w:tcPr>
          <w:p w14:paraId="4A60ED3D" w14:textId="77777777" w:rsidR="00E8266F" w:rsidRPr="00E8266F" w:rsidRDefault="00E8266F" w:rsidP="00E82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E8266F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Община Русе</w:t>
            </w:r>
          </w:p>
        </w:tc>
      </w:tr>
      <w:tr w:rsidR="00E8266F" w:rsidRPr="00E8266F" w14:paraId="4BB8EF7C" w14:textId="77777777" w:rsidTr="00E8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14:paraId="7DDCAC27" w14:textId="77777777" w:rsidR="00E8266F" w:rsidRPr="00E8266F" w:rsidRDefault="00E8266F" w:rsidP="00E8266F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bg-BG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15C54370" w14:textId="77777777" w:rsidR="00E8266F" w:rsidRPr="00E8266F" w:rsidRDefault="00E8266F" w:rsidP="00E82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E8266F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Адрес</w:t>
            </w:r>
            <w:r w:rsidRPr="00E8266F">
              <w:rPr>
                <w:rFonts w:ascii="Trebuchet MS" w:eastAsia="Times New Roman" w:hAnsi="Trebuchet MS" w:cs="Times New Roman"/>
                <w:sz w:val="20"/>
                <w:szCs w:val="20"/>
                <w:lang w:val="en-GB" w:eastAsia="bg-BG"/>
              </w:rPr>
              <w:t xml:space="preserve">: </w:t>
            </w:r>
            <w:r w:rsidRPr="00E8266F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пл. „Свобода“ 6,</w:t>
            </w:r>
            <w:r w:rsidRPr="00E8266F">
              <w:rPr>
                <w:rFonts w:ascii="Trebuchet MS" w:eastAsia="Times New Roman" w:hAnsi="Trebuchet MS" w:cs="Times New Roman"/>
                <w:sz w:val="20"/>
                <w:szCs w:val="20"/>
                <w:lang w:val="en-GB" w:eastAsia="bg-BG"/>
              </w:rPr>
              <w:t xml:space="preserve"> </w:t>
            </w:r>
            <w:r w:rsidRPr="00E8266F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Русе 7000</w:t>
            </w:r>
            <w:r w:rsidRPr="00E8266F">
              <w:rPr>
                <w:rFonts w:ascii="Trebuchet MS" w:eastAsia="Times New Roman" w:hAnsi="Trebuchet MS" w:cs="Times New Roman"/>
                <w:sz w:val="20"/>
                <w:szCs w:val="20"/>
                <w:lang w:val="en-GB" w:eastAsia="bg-BG"/>
              </w:rPr>
              <w:t xml:space="preserve">, </w:t>
            </w:r>
            <w:r w:rsidRPr="00E8266F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България</w:t>
            </w:r>
          </w:p>
        </w:tc>
      </w:tr>
      <w:tr w:rsidR="00E8266F" w:rsidRPr="00E8266F" w14:paraId="180E9812" w14:textId="77777777" w:rsidTr="006614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14:paraId="10C8530C" w14:textId="77777777" w:rsidR="00E8266F" w:rsidRPr="00E8266F" w:rsidRDefault="00E8266F" w:rsidP="00E8266F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bg-BG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7026B585" w14:textId="77777777" w:rsidR="00E8266F" w:rsidRPr="00E8266F" w:rsidRDefault="00E8266F" w:rsidP="00E82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E8266F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Тел</w:t>
            </w:r>
            <w:r w:rsidRPr="00E8266F">
              <w:rPr>
                <w:rFonts w:ascii="Trebuchet MS" w:eastAsia="Times New Roman" w:hAnsi="Trebuchet MS" w:cs="Times New Roman"/>
                <w:sz w:val="20"/>
                <w:szCs w:val="20"/>
                <w:lang w:val="en-GB" w:eastAsia="bg-BG"/>
              </w:rPr>
              <w:t>:</w:t>
            </w:r>
            <w:r w:rsidRPr="00E8266F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</w:t>
            </w:r>
            <w:r w:rsidRPr="00E8266F">
              <w:rPr>
                <w:rFonts w:ascii="Trebuchet MS" w:eastAsia="Times New Roman" w:hAnsi="Trebuchet MS" w:cs="Times New Roman"/>
                <w:sz w:val="20"/>
                <w:szCs w:val="20"/>
                <w:lang w:val="en-GB" w:eastAsia="bg-BG"/>
              </w:rPr>
              <w:t>+359 82 881 802;</w:t>
            </w:r>
            <w:r w:rsidRPr="00E8266F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Факс</w:t>
            </w:r>
            <w:r w:rsidRPr="00E8266F">
              <w:rPr>
                <w:rFonts w:ascii="Trebuchet MS" w:eastAsia="Times New Roman" w:hAnsi="Trebuchet MS" w:cs="Times New Roman"/>
                <w:sz w:val="20"/>
                <w:szCs w:val="20"/>
                <w:lang w:val="en-GB" w:eastAsia="bg-BG"/>
              </w:rPr>
              <w:t>: +359 82 834 413</w:t>
            </w:r>
          </w:p>
        </w:tc>
      </w:tr>
      <w:tr w:rsidR="00E8266F" w:rsidRPr="00E8266F" w14:paraId="02745585" w14:textId="77777777" w:rsidTr="00E8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EC9B9F" w14:textId="77777777" w:rsidR="00E8266F" w:rsidRPr="00E8266F" w:rsidRDefault="00E8266F" w:rsidP="00E8266F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bg-BG"/>
              </w:rPr>
            </w:pPr>
          </w:p>
        </w:tc>
        <w:tc>
          <w:tcPr>
            <w:tcW w:w="7807" w:type="dxa"/>
            <w:tcBorders>
              <w:left w:val="single" w:sz="4" w:space="0" w:color="auto"/>
              <w:bottom w:val="single" w:sz="4" w:space="0" w:color="auto"/>
            </w:tcBorders>
          </w:tcPr>
          <w:p w14:paraId="4A1AD543" w14:textId="77777777" w:rsidR="00E8266F" w:rsidRPr="00E8266F" w:rsidRDefault="00E8266F" w:rsidP="00E82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E8266F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Електронна поща</w:t>
            </w:r>
            <w:r w:rsidRPr="00E8266F">
              <w:rPr>
                <w:rFonts w:ascii="Trebuchet MS" w:eastAsia="Times New Roman" w:hAnsi="Trebuchet MS" w:cs="Times New Roman"/>
                <w:sz w:val="20"/>
                <w:szCs w:val="20"/>
                <w:lang w:val="en-GB" w:eastAsia="bg-BG"/>
              </w:rPr>
              <w:t>:</w:t>
            </w:r>
            <w:r w:rsidRPr="00E8266F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mayor@ruse-bg.eu</w:t>
            </w:r>
          </w:p>
        </w:tc>
      </w:tr>
    </w:tbl>
    <w:p w14:paraId="44018231" w14:textId="77777777" w:rsidR="00E8266F" w:rsidRPr="00E8266F" w:rsidRDefault="00E8266F" w:rsidP="00E82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bg-BG"/>
        </w:rPr>
      </w:pPr>
    </w:p>
    <w:p w14:paraId="08EC7875" w14:textId="77777777" w:rsidR="00E8266F" w:rsidRPr="00E8266F" w:rsidRDefault="00E8266F" w:rsidP="00E8266F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Cs w:val="20"/>
          <w:lang w:val="bg-BG" w:eastAsia="bg-BG"/>
        </w:rPr>
      </w:pPr>
      <w:r w:rsidRPr="00E8266F">
        <w:rPr>
          <w:rFonts w:ascii="Trebuchet MS" w:eastAsia="Times New Roman" w:hAnsi="Trebuchet MS" w:cs="Times New Roman"/>
          <w:szCs w:val="20"/>
          <w:lang w:val="bg-BG" w:eastAsia="bg-BG"/>
        </w:rPr>
        <w:t xml:space="preserve">Проект: </w:t>
      </w:r>
      <w:r w:rsidRPr="00E8266F">
        <w:rPr>
          <w:rFonts w:ascii="Trebuchet MS" w:eastAsia="Times New Roman" w:hAnsi="Trebuchet MS" w:cs="Times New Roman"/>
          <w:b/>
          <w:i/>
          <w:szCs w:val="20"/>
          <w:lang w:val="bg-BG" w:eastAsia="bg-BG"/>
        </w:rPr>
        <w:t xml:space="preserve">„Развитие на поречието на река Дунав за по-добра свързаност на </w:t>
      </w:r>
      <w:proofErr w:type="spellStart"/>
      <w:r w:rsidRPr="00E8266F">
        <w:rPr>
          <w:rFonts w:ascii="Trebuchet MS" w:eastAsia="Times New Roman" w:hAnsi="Trebuchet MS" w:cs="Times New Roman"/>
          <w:b/>
          <w:i/>
          <w:szCs w:val="20"/>
          <w:lang w:val="bg-BG" w:eastAsia="bg-BG"/>
        </w:rPr>
        <w:t>Еврорегион</w:t>
      </w:r>
      <w:proofErr w:type="spellEnd"/>
      <w:r w:rsidRPr="00E8266F">
        <w:rPr>
          <w:rFonts w:ascii="Trebuchet MS" w:eastAsia="Times New Roman" w:hAnsi="Trebuchet MS" w:cs="Times New Roman"/>
          <w:b/>
          <w:i/>
          <w:szCs w:val="20"/>
          <w:lang w:val="bg-BG" w:eastAsia="bg-BG"/>
        </w:rPr>
        <w:t xml:space="preserve"> Русе-Гюргево с Паневропейски транспортен коридор №7“, </w:t>
      </w:r>
      <w:r w:rsidRPr="00E8266F">
        <w:rPr>
          <w:rFonts w:ascii="Trebuchet MS" w:eastAsia="Times New Roman" w:hAnsi="Trebuchet MS" w:cs="Times New Roman"/>
          <w:i/>
          <w:szCs w:val="20"/>
          <w:lang w:val="bg-BG" w:eastAsia="bg-BG"/>
        </w:rPr>
        <w:t>e</w:t>
      </w:r>
      <w:r w:rsidRPr="00E8266F">
        <w:rPr>
          <w:rFonts w:ascii="Trebuchet MS" w:eastAsia="Times New Roman" w:hAnsi="Trebuchet MS" w:cs="Times New Roman"/>
          <w:i/>
          <w:szCs w:val="20"/>
          <w:lang w:eastAsia="bg-BG"/>
        </w:rPr>
        <w:t>-</w:t>
      </w:r>
      <w:r w:rsidRPr="00E8266F">
        <w:rPr>
          <w:rFonts w:ascii="Trebuchet MS" w:eastAsia="Times New Roman" w:hAnsi="Trebuchet MS" w:cs="Times New Roman"/>
          <w:i/>
          <w:szCs w:val="20"/>
          <w:lang w:val="bg-BG" w:eastAsia="bg-BG"/>
        </w:rPr>
        <w:t>MS</w:t>
      </w:r>
      <w:r w:rsidRPr="00E8266F">
        <w:rPr>
          <w:rFonts w:ascii="Trebuchet MS" w:eastAsia="Times New Roman" w:hAnsi="Trebuchet MS" w:cs="Times New Roman"/>
          <w:b/>
          <w:i/>
          <w:szCs w:val="20"/>
          <w:lang w:val="bg-BG" w:eastAsia="bg-BG"/>
        </w:rPr>
        <w:t xml:space="preserve"> </w:t>
      </w:r>
      <w:r w:rsidRPr="00E8266F">
        <w:rPr>
          <w:rFonts w:ascii="Trebuchet MS" w:eastAsia="Times New Roman" w:hAnsi="Trebuchet MS" w:cs="Times New Roman"/>
          <w:i/>
          <w:szCs w:val="20"/>
          <w:lang w:val="bg-BG" w:eastAsia="bg-BG"/>
        </w:rPr>
        <w:t>код</w:t>
      </w:r>
      <w:r w:rsidRPr="00E8266F">
        <w:rPr>
          <w:rFonts w:ascii="Trebuchet MS" w:eastAsia="Times New Roman" w:hAnsi="Trebuchet MS" w:cs="Times New Roman"/>
          <w:b/>
          <w:i/>
          <w:szCs w:val="20"/>
          <w:lang w:val="bg-BG" w:eastAsia="bg-BG"/>
        </w:rPr>
        <w:t xml:space="preserve"> ROBG-130</w:t>
      </w:r>
    </w:p>
    <w:p w14:paraId="7E0BF26F" w14:textId="4DB8D6F3" w:rsidR="00EA7348" w:rsidRDefault="00EA7348"/>
    <w:p w14:paraId="471B13E0" w14:textId="74D64BEB" w:rsidR="00E8266F" w:rsidRDefault="00E8266F"/>
    <w:p w14:paraId="5C2B6484" w14:textId="07BBF665" w:rsidR="00E8266F" w:rsidRDefault="00E8266F"/>
    <w:p w14:paraId="50E83D62" w14:textId="398E25E6" w:rsidR="00E8266F" w:rsidRPr="002250E7" w:rsidRDefault="002250E7" w:rsidP="002250E7">
      <w:pPr>
        <w:jc w:val="center"/>
        <w:rPr>
          <w:rFonts w:ascii="Times New Roman" w:hAnsi="Times New Roman" w:cs="Times New Roman"/>
          <w:b/>
          <w:lang w:val="bg-BG"/>
        </w:rPr>
      </w:pPr>
      <w:r w:rsidRPr="002250E7">
        <w:rPr>
          <w:rFonts w:ascii="Times New Roman" w:hAnsi="Times New Roman" w:cs="Times New Roman"/>
          <w:b/>
          <w:lang w:val="bg-BG"/>
        </w:rPr>
        <w:t>МЕТОДИКА ЗА ОЦЕНКА НА ПОСТЪПИЛИТЕ ОФЕРТИ</w:t>
      </w:r>
    </w:p>
    <w:p w14:paraId="09932231" w14:textId="6C936161" w:rsidR="00E8266F" w:rsidRDefault="00E8266F"/>
    <w:p w14:paraId="6D0BAD30" w14:textId="73FFFA74" w:rsidR="00E8266F" w:rsidRDefault="00E826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A03968" w:rsidRPr="00A03968" w14:paraId="4E365A69" w14:textId="77777777" w:rsidTr="00122589">
        <w:trPr>
          <w:trHeight w:val="284"/>
        </w:trPr>
        <w:tc>
          <w:tcPr>
            <w:tcW w:w="5000" w:type="pct"/>
            <w:shd w:val="clear" w:color="auto" w:fill="auto"/>
            <w:noWrap/>
            <w:vAlign w:val="bottom"/>
          </w:tcPr>
          <w:p w14:paraId="24727F5D" w14:textId="77777777" w:rsidR="00A03968" w:rsidRPr="00A03968" w:rsidRDefault="00A03968" w:rsidP="00A03968">
            <w:pPr>
              <w:shd w:val="clear" w:color="auto" w:fill="FFFFFF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0396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Обществената поръчка се възлага въз основа на критерий за възлагане </w:t>
            </w:r>
            <w:r w:rsidRPr="00A03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„оптимално съотношение качество/цена“</w:t>
            </w:r>
            <w:r w:rsidRPr="00A0396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по чл. 70, ал. 2, т. 3 от ЗОП. Чрез настоящите показателите за оценка се осигурява определяне на офертата, която предлага най-добро съотношение качество-цена. Одобрените показателите за оценка позволяват извършването на сравнителна оценка на нивото на изпълнение, предложено във всяка оферта, предвид предмета на поръчката, както е определен в описанието на дейностите. Указанията към методиката за оценка предоставят възможност да се оцени нивото на изпълнение, предложено във всяка оферта, в съответствие с предмета на обществената поръчка и описанието на дейностите, както и да бъдат сравнени и оценени техническите предложения в офертите, чрез </w:t>
            </w:r>
            <w:proofErr w:type="spellStart"/>
            <w:r w:rsidRPr="00A0396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обективиране</w:t>
            </w:r>
            <w:proofErr w:type="spellEnd"/>
            <w:r w:rsidRPr="00A0396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 оценката на комисията въз основа на мотивирана експертна оценка. </w:t>
            </w:r>
          </w:p>
          <w:p w14:paraId="578CD7A5" w14:textId="77777777" w:rsidR="00A03968" w:rsidRPr="00A03968" w:rsidRDefault="00A03968" w:rsidP="00A03968">
            <w:pPr>
              <w:keepNext/>
              <w:keepLines/>
              <w:widowControl w:val="0"/>
              <w:tabs>
                <w:tab w:val="left" w:pos="1289"/>
              </w:tabs>
              <w:spacing w:after="0" w:line="276" w:lineRule="auto"/>
              <w:ind w:left="90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</w:pPr>
          </w:p>
          <w:p w14:paraId="5139AC02" w14:textId="77777777" w:rsidR="00A03968" w:rsidRPr="00A03968" w:rsidRDefault="00A03968" w:rsidP="00A03968">
            <w:pPr>
              <w:keepNext/>
              <w:keepLines/>
              <w:widowControl w:val="0"/>
              <w:tabs>
                <w:tab w:val="left" w:pos="1289"/>
              </w:tabs>
              <w:spacing w:after="0" w:line="276" w:lineRule="auto"/>
              <w:ind w:left="90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</w:pPr>
            <w:r w:rsidRPr="00A03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  <w:t>Показатели за оценка</w:t>
            </w:r>
          </w:p>
          <w:p w14:paraId="2C88A51D" w14:textId="77777777" w:rsidR="00A03968" w:rsidRPr="00A03968" w:rsidRDefault="00A03968" w:rsidP="00A03968">
            <w:pPr>
              <w:keepNext/>
              <w:keepLines/>
              <w:widowControl w:val="0"/>
              <w:tabs>
                <w:tab w:val="left" w:pos="1289"/>
              </w:tabs>
              <w:spacing w:after="0" w:line="276" w:lineRule="auto"/>
              <w:ind w:left="90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</w:pPr>
          </w:p>
          <w:p w14:paraId="113321F4" w14:textId="77777777" w:rsidR="00A03968" w:rsidRPr="00A03968" w:rsidRDefault="00A03968" w:rsidP="00A03968">
            <w:pPr>
              <w:keepNext/>
              <w:keepLines/>
              <w:widowControl w:val="0"/>
              <w:tabs>
                <w:tab w:val="left" w:pos="851"/>
              </w:tabs>
              <w:spacing w:after="0" w:line="276" w:lineRule="auto"/>
              <w:ind w:firstLine="85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</w:pPr>
            <w:r w:rsidRPr="00A03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  <w:t xml:space="preserve">К1 – Предложена цена – максимална оценка – </w:t>
            </w:r>
            <w:r w:rsidRPr="00A03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  <w:t>5</w:t>
            </w:r>
            <w:r w:rsidRPr="00A03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  <w:t>0 точки;</w:t>
            </w:r>
          </w:p>
          <w:p w14:paraId="71AA4E00" w14:textId="77777777" w:rsidR="00A03968" w:rsidRPr="00A03968" w:rsidRDefault="00A03968" w:rsidP="00A03968">
            <w:pPr>
              <w:keepNext/>
              <w:keepLines/>
              <w:widowControl w:val="0"/>
              <w:tabs>
                <w:tab w:val="left" w:pos="1289"/>
              </w:tabs>
              <w:spacing w:after="0" w:line="276" w:lineRule="auto"/>
              <w:ind w:firstLine="85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</w:pPr>
            <w:r w:rsidRPr="00A03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  <w:t>К2 – Мерки за осигуряване качествено изпълнение на поръчката</w:t>
            </w:r>
            <w:r w:rsidRPr="00A03968" w:rsidDel="00757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  <w:t xml:space="preserve"> </w:t>
            </w:r>
            <w:r w:rsidRPr="00A03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  <w:t>– 50 точки;</w:t>
            </w:r>
          </w:p>
          <w:p w14:paraId="2D7F5754" w14:textId="77777777" w:rsidR="00A03968" w:rsidRPr="00A03968" w:rsidRDefault="00A03968" w:rsidP="00A03968">
            <w:pPr>
              <w:keepNext/>
              <w:keepLines/>
              <w:widowControl w:val="0"/>
              <w:tabs>
                <w:tab w:val="left" w:pos="1289"/>
              </w:tabs>
              <w:spacing w:after="0" w:line="276" w:lineRule="auto"/>
              <w:ind w:left="90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</w:pPr>
          </w:p>
          <w:p w14:paraId="0945F8C7" w14:textId="77777777" w:rsidR="00A03968" w:rsidRPr="00A03968" w:rsidRDefault="00A03968" w:rsidP="00A03968">
            <w:pPr>
              <w:keepNext/>
              <w:keepLines/>
              <w:widowControl w:val="0"/>
              <w:tabs>
                <w:tab w:val="left" w:pos="1289"/>
              </w:tabs>
              <w:spacing w:after="0" w:line="276" w:lineRule="auto"/>
              <w:ind w:left="90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</w:pPr>
            <w:r w:rsidRPr="00A03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  <w:t>К1 – Предложена цена – показателят се изчислява по следната формула:</w:t>
            </w:r>
          </w:p>
          <w:p w14:paraId="5C6593CD" w14:textId="77777777" w:rsidR="00A03968" w:rsidRPr="00A03968" w:rsidRDefault="00A03968" w:rsidP="00A03968">
            <w:pPr>
              <w:keepNext/>
              <w:keepLines/>
              <w:widowControl w:val="0"/>
              <w:tabs>
                <w:tab w:val="left" w:pos="1289"/>
              </w:tabs>
              <w:spacing w:after="0" w:line="276" w:lineRule="auto"/>
              <w:ind w:left="90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</w:pPr>
          </w:p>
          <w:p w14:paraId="3FE41170" w14:textId="77777777" w:rsidR="00A03968" w:rsidRPr="00A03968" w:rsidRDefault="00A03968" w:rsidP="00A03968">
            <w:pPr>
              <w:spacing w:after="0" w:line="276" w:lineRule="auto"/>
              <w:ind w:left="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A039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К1 = (</w:t>
            </w:r>
            <w:proofErr w:type="spellStart"/>
            <w:r w:rsidRPr="00A0396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Цена</w:t>
            </w:r>
            <w:r w:rsidRPr="00A0396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shd w:val="clear" w:color="auto" w:fill="FFFFFF"/>
                <w:vertAlign w:val="subscript"/>
                <w:lang w:val="bg-BG" w:eastAsia="bg-BG"/>
              </w:rPr>
              <w:t>мин</w:t>
            </w:r>
            <w:proofErr w:type="spellEnd"/>
            <w:r w:rsidRPr="00A0396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shd w:val="clear" w:color="auto" w:fill="FFFFFF"/>
                <w:vertAlign w:val="subscript"/>
                <w:lang w:val="bg-BG" w:eastAsia="bg-BG"/>
              </w:rPr>
              <w:t>.</w:t>
            </w:r>
            <w:r w:rsidRPr="00A039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/ </w:t>
            </w:r>
            <w:proofErr w:type="spellStart"/>
            <w:r w:rsidRPr="00A0396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Цена</w:t>
            </w:r>
            <w:r w:rsidRPr="00A0396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shd w:val="clear" w:color="auto" w:fill="FFFFFF"/>
                <w:vertAlign w:val="subscript"/>
                <w:lang w:val="bg-BG" w:eastAsia="bg-BG"/>
              </w:rPr>
              <w:t>участ</w:t>
            </w:r>
            <w:proofErr w:type="spellEnd"/>
            <w:r w:rsidRPr="00A03968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shd w:val="clear" w:color="auto" w:fill="FFFFFF"/>
                <w:vertAlign w:val="subscript"/>
                <w:lang w:val="bg-BG" w:eastAsia="bg-BG"/>
              </w:rPr>
              <w:t>.</w:t>
            </w:r>
            <w:r w:rsidRPr="00A039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)*50</w:t>
            </w:r>
          </w:p>
          <w:p w14:paraId="2B7DDA18" w14:textId="77777777" w:rsidR="00A03968" w:rsidRPr="00A03968" w:rsidRDefault="00A03968" w:rsidP="00A03968">
            <w:pPr>
              <w:spacing w:after="0" w:line="276" w:lineRule="auto"/>
              <w:ind w:left="20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</w:pPr>
          </w:p>
          <w:p w14:paraId="16248D7C" w14:textId="77777777" w:rsidR="00A03968" w:rsidRPr="00A03968" w:rsidRDefault="00A03968" w:rsidP="00A03968">
            <w:pPr>
              <w:spacing w:after="0" w:line="276" w:lineRule="auto"/>
              <w:ind w:left="20"/>
              <w:rPr>
                <w:rFonts w:ascii="Arial" w:eastAsia="Arial" w:hAnsi="Arial" w:cs="Times New Roman"/>
                <w:sz w:val="24"/>
                <w:szCs w:val="24"/>
                <w:shd w:val="clear" w:color="auto" w:fill="FFFFFF"/>
                <w:lang w:val="bg-BG" w:eastAsia="bg-BG"/>
              </w:rPr>
            </w:pPr>
            <w:r w:rsidRPr="00A039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където</w:t>
            </w:r>
          </w:p>
          <w:p w14:paraId="13547B75" w14:textId="77777777" w:rsidR="00A03968" w:rsidRPr="00A03968" w:rsidRDefault="00A03968" w:rsidP="00A03968">
            <w:pPr>
              <w:spacing w:after="0" w:line="276" w:lineRule="auto"/>
              <w:ind w:left="20"/>
              <w:rPr>
                <w:rFonts w:ascii="Arial" w:eastAsia="Arial" w:hAnsi="Arial" w:cs="Times New Roman"/>
                <w:sz w:val="24"/>
                <w:szCs w:val="24"/>
                <w:shd w:val="clear" w:color="auto" w:fill="FFFFFF"/>
                <w:lang w:val="bg-BG" w:eastAsia="bg-BG"/>
              </w:rPr>
            </w:pPr>
            <w:proofErr w:type="spellStart"/>
            <w:r w:rsidRPr="00A0396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lastRenderedPageBreak/>
              <w:t>Цена</w:t>
            </w:r>
            <w:r w:rsidRPr="00A0396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val="bg-BG" w:eastAsia="bg-BG"/>
              </w:rPr>
              <w:t>мин</w:t>
            </w:r>
            <w:proofErr w:type="spellEnd"/>
            <w:r w:rsidRPr="00A03968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val="bg-BG" w:eastAsia="bg-BG"/>
              </w:rPr>
              <w:t>.</w:t>
            </w:r>
            <w:r w:rsidRPr="00A039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е най-ниската предложена цена от участник.</w:t>
            </w:r>
          </w:p>
          <w:p w14:paraId="2B10EDD4" w14:textId="77777777" w:rsidR="00A03968" w:rsidRPr="00A03968" w:rsidRDefault="00A03968" w:rsidP="00A03968">
            <w:pPr>
              <w:spacing w:after="10" w:line="276" w:lineRule="auto"/>
              <w:ind w:left="20" w:right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</w:pPr>
            <w:proofErr w:type="spellStart"/>
            <w:r w:rsidRPr="00A03968">
              <w:rPr>
                <w:rFonts w:ascii="Times New Roman" w:eastAsia="Arial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bg-BG" w:eastAsia="bg-BG"/>
              </w:rPr>
              <w:t>Ценаучаст</w:t>
            </w:r>
            <w:proofErr w:type="spellEnd"/>
            <w:r w:rsidRPr="00A03968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bg-BG" w:eastAsia="bg-BG"/>
              </w:rPr>
              <w:t xml:space="preserve">. </w:t>
            </w:r>
            <w:r w:rsidRPr="00A03968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  <w:lang w:val="bg-BG" w:eastAsia="bg-BG"/>
              </w:rPr>
              <w:t>е</w:t>
            </w:r>
            <w:r w:rsidRPr="00A03968">
              <w:rPr>
                <w:rFonts w:ascii="Arial" w:eastAsia="Arial" w:hAnsi="Arial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  <w:r w:rsidRPr="00A039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цената, предложена от даден участник съгласно ценовото му</w:t>
            </w:r>
            <w:r w:rsidRPr="00A039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r w:rsidRPr="00A039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предложение.</w:t>
            </w:r>
          </w:p>
          <w:p w14:paraId="4380ABF1" w14:textId="77777777" w:rsidR="00A03968" w:rsidRPr="00A03968" w:rsidRDefault="00A03968" w:rsidP="00A03968">
            <w:pPr>
              <w:shd w:val="clear" w:color="auto" w:fill="FFFFFF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14:paraId="3A5112CB" w14:textId="77777777" w:rsidR="00A03968" w:rsidRPr="00A03968" w:rsidRDefault="00A03968" w:rsidP="00A03968">
            <w:pPr>
              <w:keepNext/>
              <w:keepLines/>
              <w:widowControl w:val="0"/>
              <w:tabs>
                <w:tab w:val="left" w:pos="1289"/>
              </w:tabs>
              <w:spacing w:after="0" w:line="276" w:lineRule="auto"/>
              <w:ind w:left="90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</w:pPr>
            <w:r w:rsidRPr="00A03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  <w:t>К2 – Мерки за осигуряване качествено изпълнение на поръчката – в техническото си предложение, участникът трябва да разгледа по същество организацията, която ще бъде създадена за изпълнение на поръчката, съгласно описанието на дейностите.</w:t>
            </w:r>
          </w:p>
          <w:p w14:paraId="534AD235" w14:textId="77777777" w:rsidR="00A03968" w:rsidRPr="00A03968" w:rsidRDefault="00A03968" w:rsidP="00A03968">
            <w:pPr>
              <w:keepNext/>
              <w:keepLines/>
              <w:widowControl w:val="0"/>
              <w:tabs>
                <w:tab w:val="left" w:pos="1289"/>
              </w:tabs>
              <w:spacing w:after="0" w:line="276" w:lineRule="auto"/>
              <w:ind w:left="90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shd w:val="clear" w:color="auto" w:fill="FFFFFF"/>
                <w:lang w:val="bg-BG" w:eastAsia="bg-BG"/>
              </w:rPr>
            </w:pPr>
          </w:p>
          <w:p w14:paraId="786F1AA2" w14:textId="77777777" w:rsidR="00A03968" w:rsidRPr="00A03968" w:rsidRDefault="00A03968" w:rsidP="00A03968">
            <w:pPr>
              <w:keepNext/>
              <w:keepLines/>
              <w:widowControl w:val="0"/>
              <w:tabs>
                <w:tab w:val="left" w:pos="1289"/>
              </w:tabs>
              <w:spacing w:after="0" w:line="276" w:lineRule="auto"/>
              <w:ind w:left="90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bg-BG" w:eastAsia="bg-BG"/>
              </w:rPr>
            </w:pPr>
            <w:r w:rsidRPr="00A03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shd w:val="clear" w:color="auto" w:fill="FFFFFF"/>
                <w:lang w:val="bg-BG" w:eastAsia="bg-BG"/>
              </w:rPr>
              <w:t xml:space="preserve">Оценява се посочената организация на работа и обхваща </w:t>
            </w:r>
            <w:r w:rsidRPr="00A0396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shd w:val="clear" w:color="auto" w:fill="FFFFFF"/>
                <w:lang w:val="bg-BG" w:eastAsia="bg-BG"/>
              </w:rPr>
              <w:t xml:space="preserve">- </w:t>
            </w:r>
            <w:r w:rsidRPr="00A03968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 xml:space="preserve">организацията на работата на ключовия екип; разпределението на функциите, ролите и  отговорностите на членовете на екипа и на различните икономически оператори (в случай на обединения и/или използване на подизпълнители или трети лица); предложените комуникационни и отчетни процедури; разпределението на времето и ресурсите за всяка дейност от съвместната стратегия </w:t>
            </w:r>
            <w:r w:rsidRPr="00A0396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</w:t>
            </w:r>
            <w:r w:rsidRPr="00A03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Участникът </w:t>
            </w:r>
            <w:r w:rsidRPr="00A0396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bg-BG" w:eastAsia="bg-BG"/>
              </w:rPr>
              <w:t>трябва да предостави информация за разпределението на времето, организацията, разпределението на ресурсите за всяка дейност на съвместната стратегия и обосновката на избор на това разпределение</w:t>
            </w:r>
            <w:r w:rsidRPr="00A0396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)</w:t>
            </w:r>
            <w:r w:rsidRPr="00A03968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; предложените мерки и процедури за контрол върху сроковете за изпълнение на дейностите и осигуряване на качеството на услугите.</w:t>
            </w:r>
          </w:p>
          <w:p w14:paraId="595DC1D2" w14:textId="77777777" w:rsidR="00A03968" w:rsidRPr="00A03968" w:rsidRDefault="00A03968" w:rsidP="00A03968">
            <w:pPr>
              <w:shd w:val="clear" w:color="auto" w:fill="FFFFFF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96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Участникът следва да представи индикативен план-график за изпълнение на поръчката; разпределение на дейностите и отговорностите на членовете на екипа от ключови експерти. План-графикът трябва да представя сроковете за изпълнение на всички д</w:t>
            </w:r>
            <w:r w:rsidRPr="00A03968">
              <w:rPr>
                <w:rFonts w:ascii="Calibri" w:eastAsia="Calibri" w:hAnsi="Calibri" w:cs="Times New Roman"/>
                <w:lang w:val="bg-BG"/>
              </w:rPr>
              <w:t>ейности</w:t>
            </w:r>
            <w:r w:rsidRPr="00A0396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 съвместната стратегия, посочени в  описанието на дейностите.</w:t>
            </w:r>
          </w:p>
          <w:p w14:paraId="7CE170A0" w14:textId="77777777" w:rsidR="00A03968" w:rsidRPr="00A03968" w:rsidRDefault="00A03968" w:rsidP="00A03968">
            <w:pPr>
              <w:keepNext/>
              <w:keepLines/>
              <w:widowControl w:val="0"/>
              <w:tabs>
                <w:tab w:val="left" w:pos="1289"/>
              </w:tabs>
              <w:spacing w:after="0" w:line="276" w:lineRule="auto"/>
              <w:ind w:firstLine="90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</w:pPr>
          </w:p>
          <w:p w14:paraId="6FAA9412" w14:textId="77777777" w:rsidR="00A03968" w:rsidRPr="00A03968" w:rsidRDefault="00A03968" w:rsidP="00A03968">
            <w:pPr>
              <w:keepNext/>
              <w:keepLines/>
              <w:widowControl w:val="0"/>
              <w:tabs>
                <w:tab w:val="left" w:pos="1289"/>
              </w:tabs>
              <w:spacing w:after="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</w:pPr>
            <w:r w:rsidRPr="00A03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  <w:t>Показателят се изчислява по следния начин:</w:t>
            </w:r>
          </w:p>
          <w:p w14:paraId="7DFF70BE" w14:textId="77777777" w:rsidR="00A03968" w:rsidRPr="00A03968" w:rsidRDefault="00A03968" w:rsidP="00A03968">
            <w:pPr>
              <w:keepNext/>
              <w:keepLines/>
              <w:widowControl w:val="0"/>
              <w:tabs>
                <w:tab w:val="left" w:pos="1289"/>
              </w:tabs>
              <w:spacing w:after="0" w:line="276" w:lineRule="auto"/>
              <w:ind w:left="90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bg-BG" w:eastAsia="bg-BG"/>
              </w:rPr>
            </w:pPr>
          </w:p>
          <w:tbl>
            <w:tblPr>
              <w:tblW w:w="10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55"/>
              <w:gridCol w:w="2792"/>
            </w:tblGrid>
            <w:tr w:rsidR="00A03968" w:rsidRPr="00A03968" w14:paraId="0DF936DB" w14:textId="77777777" w:rsidTr="00122589">
              <w:trPr>
                <w:trHeight w:val="117"/>
              </w:trPr>
              <w:tc>
                <w:tcPr>
                  <w:tcW w:w="7555" w:type="dxa"/>
                  <w:shd w:val="clear" w:color="auto" w:fill="92D050"/>
                </w:tcPr>
                <w:p w14:paraId="4B95331E" w14:textId="77777777" w:rsidR="00A03968" w:rsidRPr="00A03968" w:rsidRDefault="00A03968" w:rsidP="00A03968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A039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 xml:space="preserve"> Качество на изпълнението</w:t>
                  </w:r>
                </w:p>
              </w:tc>
              <w:tc>
                <w:tcPr>
                  <w:tcW w:w="2792" w:type="dxa"/>
                  <w:shd w:val="clear" w:color="auto" w:fill="92D050"/>
                </w:tcPr>
                <w:p w14:paraId="35D6D6BF" w14:textId="77777777" w:rsidR="00A03968" w:rsidRPr="00A03968" w:rsidRDefault="00A03968" w:rsidP="00A0396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A039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>макс.50</w:t>
                  </w:r>
                </w:p>
              </w:tc>
            </w:tr>
            <w:tr w:rsidR="00A03968" w:rsidRPr="00A03968" w14:paraId="2B123F1D" w14:textId="77777777" w:rsidTr="00122589">
              <w:trPr>
                <w:trHeight w:val="1214"/>
              </w:trPr>
              <w:tc>
                <w:tcPr>
                  <w:tcW w:w="7555" w:type="dxa"/>
                </w:tcPr>
                <w:p w14:paraId="2CBA1E64" w14:textId="77777777" w:rsidR="00A03968" w:rsidRPr="00A03968" w:rsidRDefault="00A03968" w:rsidP="00A03968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A03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Предложената от участника организация на изпълнението на поръчката съдържа: </w:t>
                  </w:r>
                </w:p>
                <w:p w14:paraId="7B2CA9F5" w14:textId="77777777" w:rsidR="00A03968" w:rsidRPr="00A03968" w:rsidRDefault="00A03968" w:rsidP="00A03968">
                  <w:pPr>
                    <w:spacing w:after="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/>
                    </w:rPr>
                    <w:t>- организация за изпълнение на всички дейности на съвместната стратегия, посочени в Описание на дейностите</w:t>
                  </w:r>
                </w:p>
                <w:p w14:paraId="7B810EB7" w14:textId="77777777" w:rsidR="00A03968" w:rsidRPr="00A03968" w:rsidRDefault="00A03968" w:rsidP="00A03968">
                  <w:pPr>
                    <w:spacing w:after="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/>
                    </w:rPr>
                    <w:t>- индикативен план-график за изпълнение на поръчката, в който са посочени сроковете за изпълнение на всички дейности, посочени в  Описание на дейностите.</w:t>
                  </w:r>
                </w:p>
              </w:tc>
              <w:tc>
                <w:tcPr>
                  <w:tcW w:w="2792" w:type="dxa"/>
                </w:tcPr>
                <w:p w14:paraId="211E8648" w14:textId="77777777" w:rsidR="00A03968" w:rsidRPr="00A03968" w:rsidRDefault="00A03968" w:rsidP="00A0396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A03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10</w:t>
                  </w:r>
                </w:p>
              </w:tc>
            </w:tr>
            <w:tr w:rsidR="00A03968" w:rsidRPr="00A03968" w14:paraId="3EF2D441" w14:textId="77777777" w:rsidTr="00122589">
              <w:trPr>
                <w:trHeight w:val="117"/>
              </w:trPr>
              <w:tc>
                <w:tcPr>
                  <w:tcW w:w="7555" w:type="dxa"/>
                </w:tcPr>
                <w:p w14:paraId="760C15E5" w14:textId="77777777" w:rsidR="00A03968" w:rsidRPr="00A03968" w:rsidRDefault="00A03968" w:rsidP="00A03968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A03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Предложената от участника организация на изпълнението на поръчката съдържа: </w:t>
                  </w:r>
                </w:p>
                <w:p w14:paraId="48B0F4A4" w14:textId="77777777" w:rsidR="00A03968" w:rsidRPr="00A03968" w:rsidRDefault="00A03968" w:rsidP="00A03968">
                  <w:pPr>
                    <w:spacing w:after="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/>
                    </w:rPr>
                    <w:t>- организация за изпълнение на всички дейности на съвместната стратегия, посочени в Описание на дейностите</w:t>
                  </w:r>
                </w:p>
                <w:p w14:paraId="47A61A8F" w14:textId="77777777" w:rsidR="00A03968" w:rsidRPr="00A03968" w:rsidRDefault="00A03968" w:rsidP="00A03968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A03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lastRenderedPageBreak/>
                    <w:t xml:space="preserve">- индикативен план-график за изпълнение на поръчката, в който са посочени сроковете за изпълнение на всички дейности, посочени в  Описание на дейностите. </w:t>
                  </w:r>
                </w:p>
                <w:p w14:paraId="4A55B7C4" w14:textId="77777777" w:rsidR="00A03968" w:rsidRPr="00A03968" w:rsidRDefault="00A03968" w:rsidP="00A03968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A03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Техническото предложение надгражда минималните изисквания на Възложителя, посочени в Описание на дейностите при условие, че са налични две от следните обстоятелства:</w:t>
                  </w:r>
                </w:p>
                <w:p w14:paraId="5577AF8C" w14:textId="77777777" w:rsidR="00A03968" w:rsidRPr="00A03968" w:rsidRDefault="00A03968" w:rsidP="00A03968">
                  <w:pPr>
                    <w:numPr>
                      <w:ilvl w:val="0"/>
                      <w:numId w:val="1"/>
                    </w:numPr>
                    <w:spacing w:before="60" w:after="12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  <w:t xml:space="preserve">За всяка от дейностите е показано разпределението по експерти (кой какво ще изпълнява) на ниво отделна задача </w:t>
                  </w:r>
                  <w:r w:rsidRPr="00A03968">
                    <w:rPr>
                      <w:rFonts w:ascii="Times New Roman" w:eastAsia="Calibri" w:hAnsi="Times New Roman" w:cs="Times New Roman"/>
                      <w:i/>
                      <w:sz w:val="24"/>
                      <w:lang w:val="bg-BG"/>
                    </w:rPr>
                    <w:t>(за целите на настоящата методика под „задача“ се разбира обособен елемент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      </w:r>
                  <w:r w:rsidRPr="00A03968"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  <w:t>; посочени и обосновани са връзките межди отделните задачи за постигане на съответните дейности от Стратегията;</w:t>
                  </w:r>
                </w:p>
                <w:p w14:paraId="6B96636D" w14:textId="77777777" w:rsidR="00A03968" w:rsidRPr="00A03968" w:rsidRDefault="00A03968" w:rsidP="00A03968">
                  <w:pPr>
                    <w:numPr>
                      <w:ilvl w:val="0"/>
                      <w:numId w:val="1"/>
                    </w:numPr>
                    <w:spacing w:before="60" w:after="12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  <w:t>Посочени са и са аргументирани (даден е отговор на въпроса защо са важни и с какво допринасят) начините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услуга;</w:t>
                  </w:r>
                </w:p>
                <w:p w14:paraId="03713713" w14:textId="77777777" w:rsidR="00A03968" w:rsidRPr="00A03968" w:rsidRDefault="00A03968" w:rsidP="00A03968">
                  <w:pPr>
                    <w:numPr>
                      <w:ilvl w:val="0"/>
                      <w:numId w:val="1"/>
                    </w:numPr>
                    <w:spacing w:before="60" w:after="12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  <w:t xml:space="preserve">За всяка дейност са дефинирани необходимите ресурси за нейното изпълнение (оборудване, логистика, материали и др.), както и </w:t>
                  </w:r>
                  <w:r w:rsidRPr="00A0396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/>
                    </w:rPr>
                    <w:t xml:space="preserve"> използваните източници на информация;</w:t>
                  </w:r>
                </w:p>
                <w:p w14:paraId="295A8BBA" w14:textId="77777777" w:rsidR="00A03968" w:rsidRPr="00A03968" w:rsidRDefault="00A03968" w:rsidP="00A03968">
                  <w:pPr>
                    <w:numPr>
                      <w:ilvl w:val="0"/>
                      <w:numId w:val="1"/>
                    </w:numPr>
                    <w:spacing w:before="60" w:after="12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  <w:t>Предложени са мерки за вътрешен контрол и организация на работата на екипа от експерти, с които да се гарантира качествено изпълнение на поръчката;</w:t>
                  </w:r>
                </w:p>
                <w:p w14:paraId="11AF1E6A" w14:textId="77777777" w:rsidR="00A03968" w:rsidRPr="00A03968" w:rsidRDefault="00A03968" w:rsidP="00A03968">
                  <w:pPr>
                    <w:numPr>
                      <w:ilvl w:val="0"/>
                      <w:numId w:val="1"/>
                    </w:numPr>
                    <w:spacing w:before="60" w:after="12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  <w:t>Предложени са конкретни методи и подходи за изпълнение на всяка дейност, надлежно мотивирани относно тяхната приложимост за постигане на резултатите, съгласно посоченото от Възложителя описание на дейностите.</w:t>
                  </w:r>
                </w:p>
              </w:tc>
              <w:tc>
                <w:tcPr>
                  <w:tcW w:w="2792" w:type="dxa"/>
                </w:tcPr>
                <w:p w14:paraId="062E72B2" w14:textId="77777777" w:rsidR="00A03968" w:rsidRPr="00A03968" w:rsidRDefault="00A03968" w:rsidP="00A0396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A03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lastRenderedPageBreak/>
                    <w:t>20</w:t>
                  </w:r>
                </w:p>
              </w:tc>
            </w:tr>
            <w:tr w:rsidR="00A03968" w:rsidRPr="00A03968" w14:paraId="4ED01862" w14:textId="77777777" w:rsidTr="00122589">
              <w:trPr>
                <w:trHeight w:val="117"/>
              </w:trPr>
              <w:tc>
                <w:tcPr>
                  <w:tcW w:w="7555" w:type="dxa"/>
                </w:tcPr>
                <w:p w14:paraId="04C5A74B" w14:textId="77777777" w:rsidR="00A03968" w:rsidRPr="00A03968" w:rsidRDefault="00A03968" w:rsidP="00A03968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A03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lastRenderedPageBreak/>
                    <w:t xml:space="preserve">Предложената от участника организация на изпълнението на поръчката съдържа: </w:t>
                  </w:r>
                </w:p>
                <w:p w14:paraId="2DAFAE61" w14:textId="77777777" w:rsidR="00A03968" w:rsidRPr="00A03968" w:rsidRDefault="00A03968" w:rsidP="00A03968">
                  <w:pPr>
                    <w:spacing w:after="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/>
                    </w:rPr>
                    <w:t>- организация за изпълнение на всички дейности на съвместната стратегия, посочени в Описание на дейностите</w:t>
                  </w:r>
                </w:p>
                <w:p w14:paraId="47C199AD" w14:textId="77777777" w:rsidR="00A03968" w:rsidRPr="00A03968" w:rsidRDefault="00A03968" w:rsidP="00A03968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A03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- индикативен план-график за изпълнение на поръчката, в който са посочени сроковете за изпълнение на всички дейности, посочени в  Описание на дейностите. </w:t>
                  </w:r>
                </w:p>
                <w:p w14:paraId="693164E7" w14:textId="77777777" w:rsidR="00A03968" w:rsidRPr="00A03968" w:rsidRDefault="00A03968" w:rsidP="00A03968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A03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lastRenderedPageBreak/>
                    <w:t>Техническото предложение надгражда минималните изисквания на Възложителя, посочени в Описание на дейностите при условие, че са налични три от следните обстоятелства:</w:t>
                  </w:r>
                </w:p>
                <w:p w14:paraId="26F8D0B4" w14:textId="77777777" w:rsidR="00A03968" w:rsidRPr="00A03968" w:rsidRDefault="00A03968" w:rsidP="00A03968">
                  <w:pPr>
                    <w:numPr>
                      <w:ilvl w:val="0"/>
                      <w:numId w:val="2"/>
                    </w:numPr>
                    <w:spacing w:before="60" w:after="12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  <w:t xml:space="preserve">За всяка от дейностите е показано разпределението по експерти (кой какво ще изпълнява) на ниво отделна задача </w:t>
                  </w:r>
                  <w:r w:rsidRPr="00A03968">
                    <w:rPr>
                      <w:rFonts w:ascii="Times New Roman" w:eastAsia="Calibri" w:hAnsi="Times New Roman" w:cs="Times New Roman"/>
                      <w:i/>
                      <w:sz w:val="24"/>
                      <w:lang w:val="bg-BG"/>
                    </w:rPr>
                    <w:t>(за целите на настоящата методика под „задача“ се разбира обособен елемент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      </w:r>
                  <w:r w:rsidRPr="00A03968"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  <w:t>; посочени и обосновани са връзките межди отделните задачи за постигане на съответните дейности от Стратегията;</w:t>
                  </w:r>
                </w:p>
                <w:p w14:paraId="326B5A9D" w14:textId="77777777" w:rsidR="00A03968" w:rsidRPr="00A03968" w:rsidRDefault="00A03968" w:rsidP="00A03968">
                  <w:pPr>
                    <w:numPr>
                      <w:ilvl w:val="0"/>
                      <w:numId w:val="2"/>
                    </w:numPr>
                    <w:spacing w:before="60" w:after="12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  <w:t>Посочени са и са аргументирани (даден е отговор на въпроса защо са важни и с какво допринасят) начините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услуга;</w:t>
                  </w:r>
                </w:p>
                <w:p w14:paraId="5B800EFA" w14:textId="77777777" w:rsidR="00A03968" w:rsidRPr="00A03968" w:rsidRDefault="00A03968" w:rsidP="00A03968">
                  <w:pPr>
                    <w:numPr>
                      <w:ilvl w:val="0"/>
                      <w:numId w:val="2"/>
                    </w:numPr>
                    <w:spacing w:before="60" w:after="12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  <w:t xml:space="preserve">За всяка дейност са дефинирани необходимите ресурси за нейното изпълнение (оборудване, логистика, материали и др.), както и </w:t>
                  </w:r>
                  <w:r w:rsidRPr="00A0396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/>
                    </w:rPr>
                    <w:t xml:space="preserve"> използваните източници на информация;</w:t>
                  </w:r>
                </w:p>
                <w:p w14:paraId="5ACB73C5" w14:textId="77777777" w:rsidR="00A03968" w:rsidRPr="00A03968" w:rsidRDefault="00A03968" w:rsidP="00A03968">
                  <w:pPr>
                    <w:numPr>
                      <w:ilvl w:val="0"/>
                      <w:numId w:val="2"/>
                    </w:numPr>
                    <w:spacing w:before="60" w:after="12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  <w:t>Предложени са мерки за вътрешен контрол и организация на работата на екипа от експерти, с които да се гарантира качествено изпълнение на поръчката;</w:t>
                  </w:r>
                </w:p>
                <w:p w14:paraId="4A253C6F" w14:textId="77777777" w:rsidR="00A03968" w:rsidRPr="00A03968" w:rsidRDefault="00A03968" w:rsidP="00A03968">
                  <w:pPr>
                    <w:numPr>
                      <w:ilvl w:val="0"/>
                      <w:numId w:val="2"/>
                    </w:numPr>
                    <w:spacing w:before="60" w:after="12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  <w:t>Предложени са конкретни методи и подходи за изпълнение на всяка дейност, надлежно мотивирани относно тяхната приложимост за постигане на резултатите, съгласно посоченото от Възложителя описание на дейностите.</w:t>
                  </w:r>
                </w:p>
              </w:tc>
              <w:tc>
                <w:tcPr>
                  <w:tcW w:w="2792" w:type="dxa"/>
                </w:tcPr>
                <w:p w14:paraId="118C4F6F" w14:textId="77777777" w:rsidR="00A03968" w:rsidRPr="00A03968" w:rsidRDefault="00A03968" w:rsidP="00A0396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A03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lastRenderedPageBreak/>
                    <w:t>30</w:t>
                  </w:r>
                </w:p>
              </w:tc>
            </w:tr>
            <w:tr w:rsidR="00A03968" w:rsidRPr="00A03968" w14:paraId="1C8D00DE" w14:textId="77777777" w:rsidTr="00122589">
              <w:trPr>
                <w:trHeight w:val="117"/>
              </w:trPr>
              <w:tc>
                <w:tcPr>
                  <w:tcW w:w="7555" w:type="dxa"/>
                </w:tcPr>
                <w:p w14:paraId="2044573F" w14:textId="77777777" w:rsidR="00A03968" w:rsidRPr="00A03968" w:rsidRDefault="00A03968" w:rsidP="00A03968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A03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lastRenderedPageBreak/>
                    <w:t xml:space="preserve">Предложената от участника организация на изпълнението на поръчката съдържа: </w:t>
                  </w:r>
                </w:p>
                <w:p w14:paraId="78D3D816" w14:textId="77777777" w:rsidR="00A03968" w:rsidRPr="00A03968" w:rsidRDefault="00A03968" w:rsidP="00A03968">
                  <w:pPr>
                    <w:spacing w:after="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/>
                    </w:rPr>
                    <w:t>- организация за изпълнение на всички дейности на съвместната стратегия, посочени в Описание на дейностите</w:t>
                  </w:r>
                </w:p>
                <w:p w14:paraId="7215B9C7" w14:textId="77777777" w:rsidR="00A03968" w:rsidRPr="00A03968" w:rsidRDefault="00A03968" w:rsidP="00A03968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A03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- индикативен план-график за изпълнение на поръчката, в който са посочени сроковете за изпълнение на всички дейности, посочени в  Описание на дейностите.</w:t>
                  </w:r>
                </w:p>
                <w:p w14:paraId="4684F5D0" w14:textId="77777777" w:rsidR="00A03968" w:rsidRPr="00A03968" w:rsidRDefault="00A03968" w:rsidP="00A03968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A03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Техническото предложение надгражда минималните изисквания на Възложителя, посочени в Описание на дейностите при условие, че са налични четири от следните обстоятелства:</w:t>
                  </w:r>
                </w:p>
                <w:p w14:paraId="75D70367" w14:textId="77777777" w:rsidR="00A03968" w:rsidRPr="00A03968" w:rsidRDefault="00A03968" w:rsidP="00A03968">
                  <w:pPr>
                    <w:numPr>
                      <w:ilvl w:val="0"/>
                      <w:numId w:val="3"/>
                    </w:numPr>
                    <w:spacing w:before="60" w:after="12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  <w:lastRenderedPageBreak/>
                    <w:t xml:space="preserve">За всяка от дейностите е показано разпределението по експерти (кой какво ще изпълнява) на ниво отделна задача </w:t>
                  </w:r>
                  <w:r w:rsidRPr="00A03968">
                    <w:rPr>
                      <w:rFonts w:ascii="Times New Roman" w:eastAsia="Calibri" w:hAnsi="Times New Roman" w:cs="Times New Roman"/>
                      <w:i/>
                      <w:sz w:val="24"/>
                      <w:lang w:val="bg-BG"/>
                    </w:rPr>
                    <w:t>(за целите на настоящата методика под „задача“ се разбира обособен елемент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      </w:r>
                  <w:r w:rsidRPr="00A03968"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  <w:t>; посочени и обосновани са връзките межди отделните задачи за постигане на съответните дейности от Стратегията;</w:t>
                  </w:r>
                </w:p>
                <w:p w14:paraId="54AA7443" w14:textId="77777777" w:rsidR="00A03968" w:rsidRPr="00A03968" w:rsidRDefault="00A03968" w:rsidP="00A03968">
                  <w:pPr>
                    <w:numPr>
                      <w:ilvl w:val="0"/>
                      <w:numId w:val="3"/>
                    </w:numPr>
                    <w:spacing w:before="60" w:after="12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  <w:t>Посочени са и са аргументирани (даден е отговор на въпроса защо са важни и с какво допринасят) начините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услуга;</w:t>
                  </w:r>
                </w:p>
                <w:p w14:paraId="2A3B1345" w14:textId="77777777" w:rsidR="00A03968" w:rsidRPr="00A03968" w:rsidRDefault="00A03968" w:rsidP="00A03968">
                  <w:pPr>
                    <w:numPr>
                      <w:ilvl w:val="0"/>
                      <w:numId w:val="3"/>
                    </w:numPr>
                    <w:spacing w:before="60" w:after="12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  <w:t xml:space="preserve">За всяка дейност са дефинирани необходимите ресурси за нейното изпълнение (оборудване, логистика, материали и др.), както и </w:t>
                  </w:r>
                  <w:r w:rsidRPr="00A0396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/>
                    </w:rPr>
                    <w:t xml:space="preserve"> използваните източници на информация;</w:t>
                  </w:r>
                </w:p>
                <w:p w14:paraId="375F0B3E" w14:textId="77777777" w:rsidR="00A03968" w:rsidRPr="00A03968" w:rsidRDefault="00A03968" w:rsidP="00A03968">
                  <w:pPr>
                    <w:numPr>
                      <w:ilvl w:val="0"/>
                      <w:numId w:val="3"/>
                    </w:numPr>
                    <w:spacing w:before="60" w:after="12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  <w:t>Предложени са мерки за вътрешен контрол и организация на работата на екипа от експерти, с които да се гарантира качествено изпълнение на поръчката;</w:t>
                  </w:r>
                </w:p>
                <w:p w14:paraId="543F26CF" w14:textId="77777777" w:rsidR="00A03968" w:rsidRPr="00A03968" w:rsidRDefault="00A03968" w:rsidP="00A03968">
                  <w:pPr>
                    <w:numPr>
                      <w:ilvl w:val="0"/>
                      <w:numId w:val="3"/>
                    </w:numPr>
                    <w:spacing w:before="60" w:after="12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  <w:t>Предложени са конкретни методи и подходи за изпълнение на всяка дейност, надлежно мотивирани относно тяхната приложимост за постигане на резултатите, съгласно посоченото от Възложителя описание на дейностите.</w:t>
                  </w:r>
                </w:p>
              </w:tc>
              <w:tc>
                <w:tcPr>
                  <w:tcW w:w="2792" w:type="dxa"/>
                </w:tcPr>
                <w:p w14:paraId="15C0B283" w14:textId="77777777" w:rsidR="00A03968" w:rsidRPr="00A03968" w:rsidRDefault="00A03968" w:rsidP="00A0396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A03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lastRenderedPageBreak/>
                    <w:t>40</w:t>
                  </w:r>
                </w:p>
              </w:tc>
            </w:tr>
            <w:tr w:rsidR="00A03968" w:rsidRPr="00A03968" w14:paraId="09B6ED51" w14:textId="77777777" w:rsidTr="00122589">
              <w:trPr>
                <w:trHeight w:val="117"/>
              </w:trPr>
              <w:tc>
                <w:tcPr>
                  <w:tcW w:w="7555" w:type="dxa"/>
                </w:tcPr>
                <w:p w14:paraId="6866FDBE" w14:textId="77777777" w:rsidR="00A03968" w:rsidRPr="00A03968" w:rsidRDefault="00A03968" w:rsidP="00A03968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A03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lastRenderedPageBreak/>
                    <w:t xml:space="preserve">Предложената от участника организация на изпълнението на поръчката съдържа: </w:t>
                  </w:r>
                </w:p>
                <w:p w14:paraId="52214B99" w14:textId="77777777" w:rsidR="00A03968" w:rsidRPr="00A03968" w:rsidRDefault="00A03968" w:rsidP="00A03968">
                  <w:pPr>
                    <w:spacing w:after="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/>
                    </w:rPr>
                    <w:t>- организация за изпълнение на всички дейности на съвместната стратегия, посочени в Описание на дейностите</w:t>
                  </w:r>
                </w:p>
                <w:p w14:paraId="625E03CC" w14:textId="77777777" w:rsidR="00A03968" w:rsidRPr="00A03968" w:rsidRDefault="00A03968" w:rsidP="00A03968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A03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- индикативен план-график за изпълнение на поръчката, в който са посочени сроковете за изпълнение на всички дейности, посочени в  Описание на дейностите. </w:t>
                  </w:r>
                </w:p>
                <w:p w14:paraId="4BC4936F" w14:textId="77777777" w:rsidR="00A03968" w:rsidRPr="00A03968" w:rsidRDefault="00A03968" w:rsidP="00A03968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A03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Техническото предложение надгражда минималните изисквания на Възложителя, посочени в Описание на дейностите при условие, че са налични пет от следните обстоятелства:</w:t>
                  </w:r>
                </w:p>
                <w:p w14:paraId="4F58D97F" w14:textId="77777777" w:rsidR="00A03968" w:rsidRPr="00A03968" w:rsidRDefault="00A03968" w:rsidP="00A03968">
                  <w:pPr>
                    <w:numPr>
                      <w:ilvl w:val="0"/>
                      <w:numId w:val="4"/>
                    </w:numPr>
                    <w:spacing w:before="60" w:after="12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  <w:t xml:space="preserve">За всяка от дейностите е показано разпределението по експерти (кой какво ще изпълнява) на ниво отделна задача </w:t>
                  </w:r>
                  <w:r w:rsidRPr="00A03968">
                    <w:rPr>
                      <w:rFonts w:ascii="Times New Roman" w:eastAsia="Calibri" w:hAnsi="Times New Roman" w:cs="Times New Roman"/>
                      <w:i/>
                      <w:sz w:val="24"/>
                      <w:lang w:val="bg-BG"/>
                    </w:rPr>
                    <w:t xml:space="preserve">(за целите на настоящата методика под „задача“ се разбира обособен </w:t>
                  </w:r>
                  <w:r w:rsidRPr="00A03968">
                    <w:rPr>
                      <w:rFonts w:ascii="Times New Roman" w:eastAsia="Calibri" w:hAnsi="Times New Roman" w:cs="Times New Roman"/>
                      <w:i/>
                      <w:sz w:val="24"/>
                      <w:lang w:val="bg-BG"/>
                    </w:rPr>
                    <w:lastRenderedPageBreak/>
                    <w:t>елемент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      </w:r>
                  <w:r w:rsidRPr="00A03968"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  <w:t>; посочени и обосновани са връзките межди отделните задачи за постигане на съответните дейности от Стратегията;</w:t>
                  </w:r>
                </w:p>
                <w:p w14:paraId="1E9CC49D" w14:textId="77777777" w:rsidR="00A03968" w:rsidRPr="00A03968" w:rsidRDefault="00A03968" w:rsidP="00A03968">
                  <w:pPr>
                    <w:numPr>
                      <w:ilvl w:val="0"/>
                      <w:numId w:val="4"/>
                    </w:numPr>
                    <w:spacing w:before="60" w:after="12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 w:eastAsia="bg-BG"/>
                    </w:rPr>
                    <w:t>Посочени са и са аргументирани (даден е отговор на въпроса защо са важни и с какво допринасят) начините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услуга;</w:t>
                  </w:r>
                </w:p>
                <w:p w14:paraId="7F2F8EF4" w14:textId="77777777" w:rsidR="00A03968" w:rsidRPr="00A03968" w:rsidRDefault="00A03968" w:rsidP="00A03968">
                  <w:pPr>
                    <w:numPr>
                      <w:ilvl w:val="0"/>
                      <w:numId w:val="4"/>
                    </w:numPr>
                    <w:spacing w:before="60" w:after="12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  <w:t xml:space="preserve">За всяка дейност са дефинирани необходимите ресурси за нейното изпълнение (оборудване, логистика, материали и др.), както и </w:t>
                  </w:r>
                  <w:r w:rsidRPr="00A0396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g-BG"/>
                    </w:rPr>
                    <w:t xml:space="preserve"> използваните източници на информация;</w:t>
                  </w:r>
                </w:p>
                <w:p w14:paraId="5E8C1143" w14:textId="77777777" w:rsidR="00A03968" w:rsidRPr="00A03968" w:rsidRDefault="00A03968" w:rsidP="00A03968">
                  <w:pPr>
                    <w:numPr>
                      <w:ilvl w:val="0"/>
                      <w:numId w:val="4"/>
                    </w:numPr>
                    <w:spacing w:before="60" w:after="12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  <w:t>Предложени са мерки за вътрешен контрол и организация на работата на екипа от експерти, с които да се гарантира качествено изпълнение на поръчката;</w:t>
                  </w:r>
                </w:p>
                <w:p w14:paraId="3E7F2376" w14:textId="77777777" w:rsidR="00A03968" w:rsidRPr="00A03968" w:rsidRDefault="00A03968" w:rsidP="00A03968">
                  <w:pPr>
                    <w:numPr>
                      <w:ilvl w:val="0"/>
                      <w:numId w:val="4"/>
                    </w:numPr>
                    <w:spacing w:before="60" w:after="120"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</w:pPr>
                  <w:r w:rsidRPr="00A03968">
                    <w:rPr>
                      <w:rFonts w:ascii="Times New Roman" w:eastAsia="Calibri" w:hAnsi="Times New Roman" w:cs="Times New Roman"/>
                      <w:sz w:val="24"/>
                      <w:lang w:val="bg-BG"/>
                    </w:rPr>
                    <w:t>Предложени са конкретни методи и подходи за изпълнение на всяка дейност, надлежно мотивирани относно тяхната приложимост за постигане на резултатите, съгласно посоченото от Възложителя описание на дейностите.</w:t>
                  </w:r>
                </w:p>
              </w:tc>
              <w:tc>
                <w:tcPr>
                  <w:tcW w:w="2792" w:type="dxa"/>
                </w:tcPr>
                <w:p w14:paraId="2E8043D4" w14:textId="77777777" w:rsidR="00A03968" w:rsidRPr="00A03968" w:rsidRDefault="00A03968" w:rsidP="00A0396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A03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lastRenderedPageBreak/>
                    <w:t>50</w:t>
                  </w:r>
                </w:p>
              </w:tc>
            </w:tr>
          </w:tbl>
          <w:p w14:paraId="49BAF2F9" w14:textId="77777777" w:rsidR="00A03968" w:rsidRPr="00A03968" w:rsidRDefault="00A03968" w:rsidP="00A03968">
            <w:pPr>
              <w:shd w:val="clear" w:color="auto" w:fill="FFFFFF"/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14:paraId="24081D4A" w14:textId="77777777" w:rsidR="00A03968" w:rsidRPr="00A03968" w:rsidRDefault="00A03968" w:rsidP="00A03968">
            <w:pPr>
              <w:spacing w:after="0" w:line="276" w:lineRule="auto"/>
              <w:ind w:left="20" w:firstLine="689"/>
              <w:rPr>
                <w:rFonts w:ascii="Arial" w:eastAsia="Arial" w:hAnsi="Arial" w:cs="Times New Roman"/>
                <w:sz w:val="24"/>
                <w:szCs w:val="24"/>
                <w:shd w:val="clear" w:color="auto" w:fill="FFFFFF"/>
                <w:lang w:val="bg-BG" w:eastAsia="bg-BG"/>
              </w:rPr>
            </w:pPr>
            <w:r w:rsidRPr="00A0396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Комплексната оценка </w:t>
            </w:r>
            <w:r w:rsidRPr="00A039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- </w:t>
            </w:r>
            <w:r w:rsidRPr="00A0396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КО </w:t>
            </w:r>
            <w:r w:rsidRPr="00A0396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на офертата се изчислява по формулата:</w:t>
            </w:r>
          </w:p>
          <w:p w14:paraId="665869C3" w14:textId="77777777" w:rsidR="00A03968" w:rsidRPr="00A03968" w:rsidRDefault="00A03968" w:rsidP="00A03968">
            <w:pPr>
              <w:widowControl w:val="0"/>
              <w:spacing w:after="0" w:line="276" w:lineRule="auto"/>
              <w:ind w:left="20" w:firstLine="68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bg-BG" w:eastAsia="bg-BG"/>
              </w:rPr>
            </w:pPr>
            <w:r w:rsidRPr="00A03968">
              <w:rPr>
                <w:rFonts w:ascii="Times New Roman" w:eastAsia="Arial" w:hAnsi="Times New Roman" w:cs="Times New Roman"/>
                <w:sz w:val="24"/>
                <w:szCs w:val="24"/>
                <w:lang w:val="bg-BG" w:eastAsia="bg-BG"/>
              </w:rPr>
              <w:t>КО = К1 + К2</w:t>
            </w:r>
          </w:p>
          <w:p w14:paraId="68DE3B6C" w14:textId="77777777" w:rsidR="00A03968" w:rsidRPr="00A03968" w:rsidRDefault="00A03968" w:rsidP="00A03968">
            <w:pPr>
              <w:spacing w:after="120" w:line="276" w:lineRule="auto"/>
              <w:ind w:left="14" w:firstLine="691"/>
              <w:rPr>
                <w:rFonts w:ascii="Arial" w:eastAsia="Arial" w:hAnsi="Arial" w:cs="Times New Roman"/>
                <w:b/>
                <w:sz w:val="24"/>
                <w:szCs w:val="24"/>
                <w:shd w:val="clear" w:color="auto" w:fill="FFFFFF"/>
                <w:lang w:val="bg-BG" w:eastAsia="bg-BG"/>
              </w:rPr>
            </w:pPr>
            <w:r w:rsidRPr="00A0396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КО </w:t>
            </w:r>
            <w:r w:rsidRPr="00A0396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има максимална стойност </w:t>
            </w:r>
            <w:r w:rsidRPr="00A0396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 xml:space="preserve">100 </w:t>
            </w:r>
            <w:r w:rsidRPr="00A0396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точки.</w:t>
            </w:r>
          </w:p>
          <w:p w14:paraId="309A996B" w14:textId="77777777" w:rsidR="00A03968" w:rsidRPr="00A03968" w:rsidRDefault="00A03968" w:rsidP="00A03968">
            <w:pPr>
              <w:shd w:val="clear" w:color="auto" w:fill="FFFFFF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0396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Съгласно чл. 58, ал. 1 от ППЗОП, Комисията класира участниците по степента на съответствие на офертите с предварително обявените от възложителя условия. 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      </w:r>
          </w:p>
          <w:p w14:paraId="35FC6906" w14:textId="77777777" w:rsidR="00A03968" w:rsidRPr="00A03968" w:rsidRDefault="00A03968" w:rsidP="00A03968">
            <w:pPr>
              <w:shd w:val="clear" w:color="auto" w:fill="FFFFFF"/>
              <w:spacing w:before="120"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0396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по-ниска предложена цена;</w:t>
            </w:r>
          </w:p>
          <w:p w14:paraId="2F55EC23" w14:textId="77777777" w:rsidR="00A03968" w:rsidRPr="00A03968" w:rsidRDefault="00A03968" w:rsidP="00A03968">
            <w:pPr>
              <w:shd w:val="clear" w:color="auto" w:fill="FFFFFF"/>
              <w:spacing w:before="120"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0396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по-изгодно предложение по показател „Качество на изпълнението“</w:t>
            </w:r>
          </w:p>
          <w:p w14:paraId="0E50D635" w14:textId="77777777" w:rsidR="00A03968" w:rsidRPr="00A03968" w:rsidRDefault="00A03968" w:rsidP="00A039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val="bg-BG"/>
              </w:rPr>
            </w:pPr>
            <w:r w:rsidRPr="00A0396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посочения по-горе ред.</w:t>
            </w:r>
          </w:p>
        </w:tc>
      </w:tr>
    </w:tbl>
    <w:p w14:paraId="3E382342" w14:textId="77777777" w:rsidR="00E8266F" w:rsidRDefault="00E8266F">
      <w:bookmarkStart w:id="0" w:name="_GoBack"/>
      <w:bookmarkEnd w:id="0"/>
    </w:p>
    <w:sectPr w:rsidR="00E8266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F975D" w14:textId="77777777" w:rsidR="00F87081" w:rsidRDefault="00F87081" w:rsidP="00E91029">
      <w:pPr>
        <w:spacing w:after="0" w:line="240" w:lineRule="auto"/>
      </w:pPr>
      <w:r>
        <w:separator/>
      </w:r>
    </w:p>
  </w:endnote>
  <w:endnote w:type="continuationSeparator" w:id="0">
    <w:p w14:paraId="6FAC93A3" w14:textId="77777777" w:rsidR="00F87081" w:rsidRDefault="00F87081" w:rsidP="00E9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E8266F" w:rsidRPr="00E8266F" w14:paraId="2EEA1FA5" w14:textId="77777777" w:rsidTr="00661443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04AAFE4A" w14:textId="77777777" w:rsidR="00E8266F" w:rsidRPr="00E8266F" w:rsidRDefault="00E8266F" w:rsidP="00E8266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sz w:val="6"/>
              <w:lang w:val="bg-BG"/>
            </w:rPr>
          </w:pPr>
        </w:p>
      </w:tc>
    </w:tr>
    <w:tr w:rsidR="00E8266F" w:rsidRPr="00E8266F" w14:paraId="5A6FB2CD" w14:textId="77777777" w:rsidTr="00661443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66CCD0B6" w14:textId="77777777" w:rsidR="00E8266F" w:rsidRPr="00E8266F" w:rsidRDefault="00E8266F" w:rsidP="00E8266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  <w:lang w:val="bg-BG"/>
            </w:rPr>
          </w:pPr>
          <w:r w:rsidRPr="00E8266F">
            <w:rPr>
              <w:rFonts w:ascii="Trebuchet MS" w:eastAsia="Calibri" w:hAnsi="Trebuchet MS" w:cs="Times New Roman"/>
              <w:b/>
              <w:lang w:val="bg-BG"/>
            </w:rPr>
            <w:t>www.</w:t>
          </w:r>
          <w:proofErr w:type="spellStart"/>
          <w:r w:rsidRPr="00E8266F">
            <w:rPr>
              <w:rFonts w:ascii="Trebuchet MS" w:eastAsia="Calibri" w:hAnsi="Trebuchet MS" w:cs="Times New Roman"/>
              <w:b/>
            </w:rPr>
            <w:t>interregrobg</w:t>
          </w:r>
          <w:proofErr w:type="spellEnd"/>
          <w:r w:rsidRPr="00E8266F">
            <w:rPr>
              <w:rFonts w:ascii="Trebuchet MS" w:eastAsia="Calibri" w:hAnsi="Trebuchet MS" w:cs="Times New Roman"/>
              <w:b/>
              <w:lang w:val="bg-BG"/>
            </w:rPr>
            <w:t>.</w:t>
          </w:r>
          <w:proofErr w:type="spellStart"/>
          <w:r w:rsidRPr="00E8266F">
            <w:rPr>
              <w:rFonts w:ascii="Trebuchet MS" w:eastAsia="Calibri" w:hAnsi="Trebuchet MS" w:cs="Times New Roman"/>
              <w:b/>
              <w:lang w:val="bg-BG"/>
            </w:rPr>
            <w:t>eu</w:t>
          </w:r>
          <w:proofErr w:type="spellEnd"/>
        </w:p>
      </w:tc>
    </w:tr>
    <w:tr w:rsidR="00E8266F" w:rsidRPr="00E8266F" w14:paraId="3BAC4D15" w14:textId="77777777" w:rsidTr="00661443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0A2B56C4" w14:textId="77777777" w:rsidR="00E8266F" w:rsidRPr="00E8266F" w:rsidRDefault="00E8266F" w:rsidP="00E8266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  <w:sz w:val="6"/>
              <w:lang w:val="bg-BG"/>
            </w:rPr>
          </w:pPr>
        </w:p>
      </w:tc>
    </w:tr>
    <w:tr w:rsidR="00E8266F" w:rsidRPr="00E8266F" w14:paraId="524E80BD" w14:textId="77777777" w:rsidTr="00661443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5C15FB17" w14:textId="77777777" w:rsidR="00E8266F" w:rsidRPr="00E8266F" w:rsidRDefault="00E8266F" w:rsidP="00E8266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</w:pPr>
          <w:proofErr w:type="spellStart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>Съдържанието</w:t>
          </w:r>
          <w:proofErr w:type="spellEnd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 xml:space="preserve"> </w:t>
          </w:r>
          <w:proofErr w:type="spellStart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>на</w:t>
          </w:r>
          <w:proofErr w:type="spellEnd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 xml:space="preserve"> </w:t>
          </w:r>
          <w:proofErr w:type="spellStart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>този</w:t>
          </w:r>
          <w:proofErr w:type="spellEnd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 xml:space="preserve"> </w:t>
          </w:r>
          <w:proofErr w:type="spellStart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>материал</w:t>
          </w:r>
          <w:proofErr w:type="spellEnd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 xml:space="preserve"> </w:t>
          </w:r>
          <w:proofErr w:type="spellStart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>не</w:t>
          </w:r>
          <w:proofErr w:type="spellEnd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 xml:space="preserve"> </w:t>
          </w:r>
          <w:proofErr w:type="spellStart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>представлява</w:t>
          </w:r>
          <w:proofErr w:type="spellEnd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 xml:space="preserve"> </w:t>
          </w:r>
          <w:proofErr w:type="spellStart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>непременно</w:t>
          </w:r>
          <w:proofErr w:type="spellEnd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 xml:space="preserve"> </w:t>
          </w:r>
          <w:proofErr w:type="spellStart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>официалната</w:t>
          </w:r>
          <w:proofErr w:type="spellEnd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 xml:space="preserve"> </w:t>
          </w:r>
          <w:proofErr w:type="spellStart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>позиция</w:t>
          </w:r>
          <w:proofErr w:type="spellEnd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 xml:space="preserve"> </w:t>
          </w:r>
          <w:proofErr w:type="spellStart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>на</w:t>
          </w:r>
          <w:proofErr w:type="spellEnd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 xml:space="preserve"> </w:t>
          </w:r>
          <w:proofErr w:type="spellStart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>Европейския</w:t>
          </w:r>
          <w:proofErr w:type="spellEnd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 xml:space="preserve"> </w:t>
          </w:r>
          <w:proofErr w:type="spellStart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>Съюз</w:t>
          </w:r>
          <w:proofErr w:type="spellEnd"/>
          <w:r w:rsidRPr="00E8266F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en-GB" w:eastAsia="bg-BG"/>
            </w:rPr>
            <w:t>.</w:t>
          </w:r>
        </w:p>
      </w:tc>
    </w:tr>
  </w:tbl>
  <w:p w14:paraId="0C2166AE" w14:textId="77777777" w:rsidR="00E8266F" w:rsidRPr="00E8266F" w:rsidRDefault="00E8266F" w:rsidP="00E826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20148" w14:textId="77777777" w:rsidR="00F87081" w:rsidRDefault="00F87081" w:rsidP="00E91029">
      <w:pPr>
        <w:spacing w:after="0" w:line="240" w:lineRule="auto"/>
      </w:pPr>
      <w:r>
        <w:separator/>
      </w:r>
    </w:p>
  </w:footnote>
  <w:footnote w:type="continuationSeparator" w:id="0">
    <w:p w14:paraId="0A49C917" w14:textId="77777777" w:rsidR="00F87081" w:rsidRDefault="00F87081" w:rsidP="00E9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6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36"/>
      <w:gridCol w:w="1116"/>
      <w:gridCol w:w="1476"/>
      <w:gridCol w:w="2143"/>
    </w:tblGrid>
    <w:tr w:rsidR="00E8266F" w:rsidRPr="00E8266F" w14:paraId="40B37A84" w14:textId="77777777" w:rsidTr="00661443">
      <w:trPr>
        <w:trHeight w:val="1135"/>
        <w:jc w:val="center"/>
      </w:trPr>
      <w:tc>
        <w:tcPr>
          <w:tcW w:w="1256" w:type="dxa"/>
          <w:shd w:val="clear" w:color="auto" w:fill="auto"/>
          <w:vAlign w:val="center"/>
        </w:tcPr>
        <w:p w14:paraId="25DA9403" w14:textId="77777777" w:rsidR="00E8266F" w:rsidRPr="00E8266F" w:rsidRDefault="00E8266F" w:rsidP="00E8266F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E8266F">
            <w:rPr>
              <w:rFonts w:ascii="Times New Roman" w:eastAsia="Times New Roman" w:hAnsi="Times New Roman" w:cs="Times New Roman"/>
              <w:noProof/>
              <w:sz w:val="24"/>
              <w:szCs w:val="20"/>
              <w:lang w:val="bg-BG" w:eastAsia="bg-BG"/>
            </w:rPr>
            <w:drawing>
              <wp:inline distT="0" distB="0" distL="0" distR="0" wp14:anchorId="406FF238" wp14:editId="21AC2723">
                <wp:extent cx="2734693" cy="548640"/>
                <wp:effectExtent l="0" t="0" r="8890" b="3810"/>
                <wp:docPr id="1" name="Picture 6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469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5" w:type="dxa"/>
          <w:shd w:val="clear" w:color="auto" w:fill="auto"/>
          <w:vAlign w:val="center"/>
        </w:tcPr>
        <w:p w14:paraId="4D6CFD13" w14:textId="77777777" w:rsidR="00E8266F" w:rsidRPr="00E8266F" w:rsidRDefault="00E8266F" w:rsidP="00E8266F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"/>
              <w:szCs w:val="20"/>
              <w:lang w:val="en-GB" w:eastAsia="bg-BG"/>
            </w:rPr>
          </w:pPr>
          <w:r w:rsidRPr="00E8266F">
            <w:rPr>
              <w:rFonts w:ascii="Times New Roman" w:eastAsia="Times New Roman" w:hAnsi="Times New Roman" w:cs="Times New Roman"/>
              <w:noProof/>
              <w:sz w:val="24"/>
              <w:szCs w:val="20"/>
              <w:lang w:val="bg-BG" w:eastAsia="bg-BG"/>
            </w:rPr>
            <w:drawing>
              <wp:inline distT="0" distB="0" distL="0" distR="0" wp14:anchorId="6466268E" wp14:editId="3DE2024F">
                <wp:extent cx="568386" cy="548640"/>
                <wp:effectExtent l="0" t="0" r="3175" b="3810"/>
                <wp:docPr id="2" name="Picture 3" descr="C:\Users\sven8\AppData\Local\Microsoft\Windows\INetCache\Content.Word\Logo-RO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ven8\AppData\Local\Microsoft\Windows\INetCache\Content.Word\Logo-RO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8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  <w:shd w:val="clear" w:color="auto" w:fill="auto"/>
          <w:vAlign w:val="center"/>
        </w:tcPr>
        <w:p w14:paraId="69358E67" w14:textId="77777777" w:rsidR="00E8266F" w:rsidRPr="00E8266F" w:rsidRDefault="00E8266F" w:rsidP="00E8266F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"/>
              <w:szCs w:val="20"/>
              <w:lang w:val="en-GB" w:eastAsia="bg-BG"/>
            </w:rPr>
          </w:pPr>
          <w:r w:rsidRPr="00E8266F">
            <w:rPr>
              <w:rFonts w:ascii="Times New Roman" w:eastAsia="Times New Roman" w:hAnsi="Times New Roman" w:cs="Times New Roman"/>
              <w:noProof/>
              <w:sz w:val="24"/>
              <w:szCs w:val="20"/>
              <w:lang w:val="bg-BG" w:eastAsia="bg-BG"/>
            </w:rPr>
            <w:drawing>
              <wp:inline distT="0" distB="0" distL="0" distR="0" wp14:anchorId="227F59AE" wp14:editId="0AA03EE8">
                <wp:extent cx="793676" cy="548640"/>
                <wp:effectExtent l="0" t="0" r="6985" b="3810"/>
                <wp:docPr id="3" name="Picture 12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67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4" w:type="dxa"/>
          <w:shd w:val="clear" w:color="auto" w:fill="auto"/>
          <w:vAlign w:val="center"/>
        </w:tcPr>
        <w:p w14:paraId="46A4F0B7" w14:textId="77777777" w:rsidR="00E8266F" w:rsidRPr="00E8266F" w:rsidRDefault="00E8266F" w:rsidP="00E8266F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E8266F">
            <w:rPr>
              <w:rFonts w:ascii="Times New Roman" w:eastAsia="Times New Roman" w:hAnsi="Times New Roman" w:cs="Times New Roman"/>
              <w:noProof/>
              <w:sz w:val="24"/>
              <w:szCs w:val="20"/>
              <w:lang w:val="bg-BG" w:eastAsia="bg-BG"/>
            </w:rPr>
            <w:drawing>
              <wp:inline distT="0" distB="0" distL="0" distR="0" wp14:anchorId="409A03D4" wp14:editId="6F91A2AC">
                <wp:extent cx="1223666" cy="548640"/>
                <wp:effectExtent l="0" t="0" r="0" b="3810"/>
                <wp:docPr id="4" name="Picture 15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66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C50826" w14:textId="77777777" w:rsidR="00E8266F" w:rsidRDefault="00E826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2ED3"/>
    <w:multiLevelType w:val="hybridMultilevel"/>
    <w:tmpl w:val="31CC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874"/>
    <w:multiLevelType w:val="hybridMultilevel"/>
    <w:tmpl w:val="31CC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1B55"/>
    <w:multiLevelType w:val="hybridMultilevel"/>
    <w:tmpl w:val="31CC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C232D"/>
    <w:multiLevelType w:val="hybridMultilevel"/>
    <w:tmpl w:val="31CC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FE"/>
    <w:rsid w:val="002250E7"/>
    <w:rsid w:val="00247557"/>
    <w:rsid w:val="006030FE"/>
    <w:rsid w:val="0073273C"/>
    <w:rsid w:val="00910DFF"/>
    <w:rsid w:val="00A03968"/>
    <w:rsid w:val="00BE3873"/>
    <w:rsid w:val="00C445E6"/>
    <w:rsid w:val="00E8266F"/>
    <w:rsid w:val="00E91029"/>
    <w:rsid w:val="00EA7348"/>
    <w:rsid w:val="00F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BB03"/>
  <w15:chartTrackingRefBased/>
  <w15:docId w15:val="{261280FA-C157-4E6B-8C47-C28746BF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10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E91029"/>
    <w:rPr>
      <w:rFonts w:ascii="Consolas" w:hAnsi="Consolas"/>
      <w:sz w:val="20"/>
      <w:szCs w:val="20"/>
    </w:rPr>
  </w:style>
  <w:style w:type="character" w:styleId="a3">
    <w:name w:val="footnote reference"/>
    <w:aliases w:val="Footnote symbol"/>
    <w:rsid w:val="00E91029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247557"/>
    <w:pPr>
      <w:spacing w:after="0" w:line="240" w:lineRule="auto"/>
    </w:pPr>
    <w:rPr>
      <w:sz w:val="20"/>
      <w:szCs w:val="20"/>
    </w:rPr>
  </w:style>
  <w:style w:type="character" w:customStyle="1" w:styleId="a5">
    <w:name w:val="Текст на бележка в края Знак"/>
    <w:basedOn w:val="a0"/>
    <w:link w:val="a4"/>
    <w:uiPriority w:val="99"/>
    <w:semiHidden/>
    <w:rsid w:val="0024755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4755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8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8266F"/>
  </w:style>
  <w:style w:type="paragraph" w:styleId="a9">
    <w:name w:val="footer"/>
    <w:basedOn w:val="a"/>
    <w:link w:val="aa"/>
    <w:uiPriority w:val="99"/>
    <w:unhideWhenUsed/>
    <w:rsid w:val="00E8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8266F"/>
  </w:style>
  <w:style w:type="table" w:styleId="3">
    <w:name w:val="Plain Table 3"/>
    <w:basedOn w:val="a1"/>
    <w:uiPriority w:val="43"/>
    <w:rsid w:val="00E8266F"/>
    <w:pPr>
      <w:spacing w:after="0" w:line="240" w:lineRule="auto"/>
    </w:pPr>
    <w:rPr>
      <w:lang w:val="bg-BG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225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225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4A7F7-5A6C-46A2-A182-31E59D2C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Stoyanov</dc:creator>
  <cp:keywords/>
  <dc:description/>
  <cp:lastModifiedBy>MONIKA PETROVA</cp:lastModifiedBy>
  <cp:revision>7</cp:revision>
  <cp:lastPrinted>2018-02-08T12:24:00Z</cp:lastPrinted>
  <dcterms:created xsi:type="dcterms:W3CDTF">2018-02-07T13:21:00Z</dcterms:created>
  <dcterms:modified xsi:type="dcterms:W3CDTF">2018-03-02T09:26:00Z</dcterms:modified>
</cp:coreProperties>
</file>